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4D6B" w14:textId="77777777" w:rsidR="008B461E" w:rsidRPr="00B126A4" w:rsidRDefault="008B461E">
      <w:pPr>
        <w:pStyle w:val="Heading1"/>
        <w:jc w:val="center"/>
        <w:rPr>
          <w:color w:val="auto"/>
          <w:sz w:val="24"/>
          <w:szCs w:val="24"/>
          <w:u w:val="single"/>
        </w:rPr>
      </w:pPr>
      <w:r w:rsidRPr="00B126A4">
        <w:rPr>
          <w:color w:val="auto"/>
          <w:sz w:val="24"/>
          <w:szCs w:val="24"/>
          <w:u w:val="single"/>
        </w:rPr>
        <w:t>Preparation for Biofeedback and/or QEEG Assessment</w:t>
      </w:r>
      <w:r w:rsidR="008F4752" w:rsidRPr="00B126A4">
        <w:rPr>
          <w:color w:val="auto"/>
          <w:sz w:val="24"/>
          <w:szCs w:val="24"/>
          <w:u w:val="single"/>
        </w:rPr>
        <w:t xml:space="preserve"> – </w:t>
      </w:r>
      <w:r w:rsidR="008F4752" w:rsidRPr="00B126A4">
        <w:rPr>
          <w:b/>
          <w:color w:val="auto"/>
          <w:sz w:val="24"/>
          <w:szCs w:val="24"/>
          <w:u w:val="single"/>
        </w:rPr>
        <w:t>Please Read Carefully!</w:t>
      </w:r>
    </w:p>
    <w:p w14:paraId="65E8B33F" w14:textId="77777777" w:rsidR="008B461E" w:rsidRPr="00B126A4" w:rsidRDefault="008B461E">
      <w:pPr>
        <w:pStyle w:val="Heading3"/>
        <w:ind w:left="360" w:firstLine="0"/>
        <w:rPr>
          <w:color w:val="auto"/>
          <w:sz w:val="24"/>
          <w:szCs w:val="24"/>
        </w:rPr>
      </w:pPr>
    </w:p>
    <w:p w14:paraId="2B316CA0" w14:textId="77777777" w:rsidR="008B461E" w:rsidRPr="00B126A4" w:rsidRDefault="008B461E">
      <w:pPr>
        <w:pStyle w:val="Heading3"/>
        <w:numPr>
          <w:ilvl w:val="0"/>
          <w:numId w:val="2"/>
        </w:numPr>
        <w:rPr>
          <w:color w:val="auto"/>
          <w:sz w:val="24"/>
          <w:szCs w:val="24"/>
        </w:rPr>
      </w:pPr>
      <w:r w:rsidRPr="00B126A4">
        <w:rPr>
          <w:color w:val="auto"/>
          <w:sz w:val="24"/>
          <w:szCs w:val="24"/>
        </w:rPr>
        <w:t xml:space="preserve">Please </w:t>
      </w:r>
      <w:r w:rsidRPr="00B126A4">
        <w:rPr>
          <w:color w:val="auto"/>
          <w:sz w:val="24"/>
          <w:szCs w:val="24"/>
          <w:u w:val="single"/>
        </w:rPr>
        <w:t>continue</w:t>
      </w:r>
      <w:r w:rsidRPr="00B126A4">
        <w:rPr>
          <w:color w:val="auto"/>
          <w:sz w:val="24"/>
          <w:szCs w:val="24"/>
        </w:rPr>
        <w:t xml:space="preserve"> to take any prescribed medications per your physician’s instructions</w:t>
      </w:r>
      <w:r w:rsidRPr="00B126A4">
        <w:rPr>
          <w:b/>
          <w:bCs/>
          <w:color w:val="auto"/>
          <w:sz w:val="24"/>
          <w:szCs w:val="24"/>
        </w:rPr>
        <w:t>*</w:t>
      </w:r>
    </w:p>
    <w:p w14:paraId="22210FD1" w14:textId="77777777" w:rsidR="008B461E" w:rsidRPr="00B126A4" w:rsidRDefault="008B461E">
      <w:pPr>
        <w:rPr>
          <w:rFonts w:ascii="Arial" w:hAnsi="Arial" w:cs="Arial"/>
        </w:rPr>
      </w:pPr>
    </w:p>
    <w:p w14:paraId="696888A9" w14:textId="77777777" w:rsidR="008B461E" w:rsidRPr="00B126A4" w:rsidRDefault="008B461E">
      <w:pPr>
        <w:pStyle w:val="Heading2"/>
        <w:numPr>
          <w:ilvl w:val="0"/>
          <w:numId w:val="1"/>
        </w:numPr>
        <w:rPr>
          <w:b/>
          <w:bCs/>
          <w:color w:val="auto"/>
          <w:sz w:val="24"/>
          <w:szCs w:val="24"/>
          <w:u w:val="single"/>
        </w:rPr>
      </w:pPr>
      <w:r w:rsidRPr="00B126A4">
        <w:rPr>
          <w:b/>
          <w:bCs/>
          <w:color w:val="auto"/>
          <w:sz w:val="24"/>
          <w:szCs w:val="24"/>
          <w:u w:val="single"/>
        </w:rPr>
        <w:t>Things to avoid prior to testing</w:t>
      </w:r>
    </w:p>
    <w:p w14:paraId="6A4F9D06" w14:textId="77777777" w:rsidR="008B461E" w:rsidRPr="00B126A4" w:rsidRDefault="008B461E">
      <w:pPr>
        <w:rPr>
          <w:rFonts w:ascii="Arial" w:hAnsi="Arial" w:cs="Arial"/>
        </w:rPr>
      </w:pPr>
    </w:p>
    <w:p w14:paraId="0B47E306" w14:textId="77777777" w:rsidR="008B461E" w:rsidRPr="00B126A4" w:rsidRDefault="008B461E">
      <w:pPr>
        <w:pStyle w:val="Heading3"/>
        <w:numPr>
          <w:ilvl w:val="0"/>
          <w:numId w:val="2"/>
        </w:numPr>
        <w:rPr>
          <w:color w:val="auto"/>
          <w:sz w:val="24"/>
          <w:szCs w:val="24"/>
        </w:rPr>
        <w:sectPr w:rsidR="008B461E" w:rsidRPr="00B126A4">
          <w:pgSz w:w="12240" w:h="15840"/>
          <w:pgMar w:top="1008" w:right="1008" w:bottom="1008" w:left="1008" w:header="720" w:footer="720" w:gutter="0"/>
          <w:cols w:space="720"/>
          <w:noEndnote/>
        </w:sectPr>
      </w:pPr>
    </w:p>
    <w:p w14:paraId="5FDD099C" w14:textId="77777777" w:rsidR="008B461E" w:rsidRPr="00B126A4" w:rsidRDefault="008B461E">
      <w:pPr>
        <w:pStyle w:val="Heading3"/>
        <w:numPr>
          <w:ilvl w:val="0"/>
          <w:numId w:val="2"/>
        </w:numPr>
        <w:rPr>
          <w:color w:val="auto"/>
          <w:sz w:val="24"/>
          <w:szCs w:val="24"/>
        </w:rPr>
      </w:pPr>
      <w:r w:rsidRPr="00B126A4">
        <w:rPr>
          <w:color w:val="auto"/>
          <w:sz w:val="24"/>
          <w:szCs w:val="24"/>
        </w:rPr>
        <w:t>Caffeine</w:t>
      </w:r>
    </w:p>
    <w:p w14:paraId="3DC69ADC" w14:textId="77777777" w:rsidR="008B461E" w:rsidRPr="00B126A4" w:rsidRDefault="008B461E">
      <w:pPr>
        <w:pStyle w:val="Heading4"/>
        <w:numPr>
          <w:ilvl w:val="0"/>
          <w:numId w:val="3"/>
        </w:numPr>
        <w:rPr>
          <w:color w:val="auto"/>
        </w:rPr>
      </w:pPr>
      <w:r w:rsidRPr="00B126A4">
        <w:rPr>
          <w:color w:val="auto"/>
        </w:rPr>
        <w:t>8 hours prior to testing</w:t>
      </w:r>
    </w:p>
    <w:p w14:paraId="072FC710" w14:textId="77777777" w:rsidR="008B461E" w:rsidRPr="00B126A4" w:rsidRDefault="008B461E">
      <w:pPr>
        <w:pStyle w:val="Heading3"/>
        <w:ind w:left="360" w:firstLine="0"/>
        <w:rPr>
          <w:color w:val="auto"/>
          <w:sz w:val="24"/>
          <w:szCs w:val="24"/>
        </w:rPr>
      </w:pPr>
    </w:p>
    <w:p w14:paraId="4EF45BD2" w14:textId="77777777" w:rsidR="008B461E" w:rsidRPr="00B126A4" w:rsidRDefault="008B461E">
      <w:pPr>
        <w:pStyle w:val="Heading3"/>
        <w:numPr>
          <w:ilvl w:val="0"/>
          <w:numId w:val="2"/>
        </w:numPr>
        <w:rPr>
          <w:color w:val="auto"/>
          <w:sz w:val="24"/>
          <w:szCs w:val="24"/>
        </w:rPr>
      </w:pPr>
      <w:r w:rsidRPr="00B126A4">
        <w:rPr>
          <w:color w:val="auto"/>
          <w:sz w:val="24"/>
          <w:szCs w:val="24"/>
        </w:rPr>
        <w:t>Nicotine</w:t>
      </w:r>
    </w:p>
    <w:p w14:paraId="0F736B2C" w14:textId="77777777" w:rsidR="008B461E" w:rsidRPr="00B126A4" w:rsidRDefault="008B461E">
      <w:pPr>
        <w:pStyle w:val="Heading4"/>
        <w:numPr>
          <w:ilvl w:val="0"/>
          <w:numId w:val="3"/>
        </w:numPr>
        <w:rPr>
          <w:color w:val="auto"/>
        </w:rPr>
      </w:pPr>
      <w:r w:rsidRPr="00B126A4">
        <w:rPr>
          <w:color w:val="auto"/>
        </w:rPr>
        <w:t>3 hours prior to testing</w:t>
      </w:r>
    </w:p>
    <w:p w14:paraId="59E32F54" w14:textId="77777777" w:rsidR="008B461E" w:rsidRPr="00B126A4" w:rsidRDefault="008B461E">
      <w:pPr>
        <w:pStyle w:val="Heading3"/>
        <w:ind w:left="360" w:firstLine="0"/>
        <w:rPr>
          <w:color w:val="auto"/>
          <w:sz w:val="24"/>
          <w:szCs w:val="24"/>
        </w:rPr>
      </w:pPr>
    </w:p>
    <w:p w14:paraId="7B9B9A21" w14:textId="77777777" w:rsidR="008B461E" w:rsidRPr="00B126A4" w:rsidRDefault="008B461E">
      <w:pPr>
        <w:pStyle w:val="Heading3"/>
        <w:numPr>
          <w:ilvl w:val="0"/>
          <w:numId w:val="2"/>
        </w:numPr>
        <w:rPr>
          <w:color w:val="auto"/>
          <w:sz w:val="24"/>
          <w:szCs w:val="24"/>
        </w:rPr>
      </w:pPr>
      <w:r w:rsidRPr="00B126A4">
        <w:rPr>
          <w:color w:val="auto"/>
          <w:sz w:val="24"/>
          <w:szCs w:val="24"/>
        </w:rPr>
        <w:t>Alcohol</w:t>
      </w:r>
    </w:p>
    <w:p w14:paraId="1B74E46B" w14:textId="77777777" w:rsidR="008B461E" w:rsidRPr="00B126A4" w:rsidRDefault="008B461E">
      <w:pPr>
        <w:pStyle w:val="Heading4"/>
        <w:numPr>
          <w:ilvl w:val="0"/>
          <w:numId w:val="3"/>
        </w:numPr>
        <w:rPr>
          <w:color w:val="auto"/>
        </w:rPr>
      </w:pPr>
      <w:r w:rsidRPr="00B126A4">
        <w:rPr>
          <w:color w:val="auto"/>
        </w:rPr>
        <w:t>12 hours prior to testing</w:t>
      </w:r>
    </w:p>
    <w:p w14:paraId="6E6B9D3B" w14:textId="77777777" w:rsidR="008B461E" w:rsidRPr="00B126A4" w:rsidRDefault="008B461E">
      <w:pPr>
        <w:pStyle w:val="Heading3"/>
        <w:ind w:left="360" w:firstLine="0"/>
        <w:rPr>
          <w:color w:val="auto"/>
          <w:sz w:val="24"/>
          <w:szCs w:val="24"/>
        </w:rPr>
      </w:pPr>
    </w:p>
    <w:p w14:paraId="317BE1C3" w14:textId="77777777" w:rsidR="008B461E" w:rsidRPr="00B126A4" w:rsidRDefault="008B461E">
      <w:pPr>
        <w:pStyle w:val="Heading3"/>
        <w:numPr>
          <w:ilvl w:val="0"/>
          <w:numId w:val="2"/>
        </w:numPr>
        <w:rPr>
          <w:color w:val="auto"/>
          <w:sz w:val="24"/>
          <w:szCs w:val="24"/>
        </w:rPr>
      </w:pPr>
      <w:r w:rsidRPr="00B126A4">
        <w:rPr>
          <w:color w:val="auto"/>
          <w:sz w:val="24"/>
          <w:szCs w:val="24"/>
        </w:rPr>
        <w:t>Marijuana</w:t>
      </w:r>
    </w:p>
    <w:p w14:paraId="7890BD18" w14:textId="77777777" w:rsidR="008B461E" w:rsidRPr="00B126A4" w:rsidRDefault="008B461E">
      <w:pPr>
        <w:pStyle w:val="Heading4"/>
        <w:numPr>
          <w:ilvl w:val="0"/>
          <w:numId w:val="3"/>
        </w:numPr>
        <w:rPr>
          <w:color w:val="auto"/>
        </w:rPr>
      </w:pPr>
      <w:r w:rsidRPr="00B126A4">
        <w:rPr>
          <w:color w:val="auto"/>
        </w:rPr>
        <w:t>72 hours prior to testing</w:t>
      </w:r>
    </w:p>
    <w:p w14:paraId="63B337F4" w14:textId="77777777" w:rsidR="008B461E" w:rsidRPr="00B126A4" w:rsidRDefault="008B461E">
      <w:pPr>
        <w:pStyle w:val="Heading3"/>
        <w:ind w:left="360" w:firstLine="0"/>
        <w:rPr>
          <w:color w:val="auto"/>
          <w:sz w:val="24"/>
          <w:szCs w:val="24"/>
        </w:rPr>
        <w:sectPr w:rsidR="008B461E" w:rsidRPr="00B126A4">
          <w:type w:val="continuous"/>
          <w:pgSz w:w="12240" w:h="15840"/>
          <w:pgMar w:top="1008" w:right="1008" w:bottom="1008" w:left="1008" w:header="720" w:footer="720" w:gutter="0"/>
          <w:cols w:num="2" w:space="720" w:equalWidth="0">
            <w:col w:w="4752" w:space="720"/>
            <w:col w:w="4752"/>
          </w:cols>
          <w:noEndnote/>
        </w:sectPr>
      </w:pPr>
    </w:p>
    <w:p w14:paraId="6D767DC1" w14:textId="77777777" w:rsidR="00113362" w:rsidRPr="00B126A4" w:rsidRDefault="008B461E" w:rsidP="00113362">
      <w:pPr>
        <w:pStyle w:val="Heading3"/>
        <w:numPr>
          <w:ilvl w:val="0"/>
          <w:numId w:val="2"/>
        </w:numPr>
        <w:rPr>
          <w:color w:val="auto"/>
          <w:sz w:val="24"/>
          <w:szCs w:val="24"/>
        </w:rPr>
      </w:pPr>
      <w:r w:rsidRPr="00B126A4">
        <w:rPr>
          <w:color w:val="auto"/>
          <w:sz w:val="24"/>
          <w:szCs w:val="24"/>
        </w:rPr>
        <w:t>Over-the-counter medications, other recreational drugs, herbal teas and/or other herbal preparations and any other stimulants (including ephedrine)</w:t>
      </w:r>
      <w:r w:rsidR="00113362" w:rsidRPr="00B126A4">
        <w:rPr>
          <w:color w:val="auto"/>
          <w:sz w:val="24"/>
          <w:szCs w:val="24"/>
        </w:rPr>
        <w:t xml:space="preserve">.  </w:t>
      </w:r>
      <w:r w:rsidR="00113362" w:rsidRPr="00B126A4">
        <w:rPr>
          <w:b/>
          <w:color w:val="auto"/>
          <w:sz w:val="24"/>
          <w:szCs w:val="24"/>
          <w:u w:val="single"/>
        </w:rPr>
        <w:t>Please indicate all drugs on the intake forms</w:t>
      </w:r>
      <w:r w:rsidR="00113362" w:rsidRPr="00B126A4">
        <w:rPr>
          <w:color w:val="auto"/>
          <w:sz w:val="24"/>
          <w:szCs w:val="24"/>
        </w:rPr>
        <w:t>.</w:t>
      </w:r>
    </w:p>
    <w:p w14:paraId="75C34773" w14:textId="77777777" w:rsidR="008B461E" w:rsidRPr="00B126A4" w:rsidRDefault="008B461E">
      <w:pPr>
        <w:pStyle w:val="Heading4"/>
        <w:numPr>
          <w:ilvl w:val="0"/>
          <w:numId w:val="3"/>
        </w:numPr>
        <w:rPr>
          <w:color w:val="auto"/>
        </w:rPr>
      </w:pPr>
      <w:r w:rsidRPr="00B126A4">
        <w:rPr>
          <w:color w:val="auto"/>
        </w:rPr>
        <w:t>72 hours prior to testing</w:t>
      </w:r>
    </w:p>
    <w:p w14:paraId="5F990E2C" w14:textId="77777777" w:rsidR="008B461E" w:rsidRPr="00B126A4" w:rsidRDefault="008B461E">
      <w:pPr>
        <w:rPr>
          <w:rFonts w:ascii="Arial" w:hAnsi="Arial" w:cs="Arial"/>
        </w:rPr>
      </w:pPr>
    </w:p>
    <w:p w14:paraId="55D1EC52" w14:textId="23E750B9" w:rsidR="008B461E" w:rsidRPr="00B126A4" w:rsidRDefault="008B461E" w:rsidP="00B126A4">
      <w:pPr>
        <w:pStyle w:val="Heading4"/>
        <w:ind w:left="0" w:firstLine="0"/>
        <w:jc w:val="both"/>
        <w:rPr>
          <w:color w:val="auto"/>
        </w:rPr>
      </w:pPr>
      <w:r w:rsidRPr="00B126A4">
        <w:rPr>
          <w:b/>
          <w:bCs/>
          <w:color w:val="auto"/>
        </w:rPr>
        <w:t>*</w:t>
      </w:r>
      <w:r w:rsidRPr="00B126A4">
        <w:rPr>
          <w:color w:val="auto"/>
        </w:rPr>
        <w:tab/>
        <w:t>Please avoid anti-histamines, cold remedies and allergy medicines unless prescribed by your physician.  If you are using prescribed versions of these medications and your physician has instructed you to take these “PRN” or “as needed” it would be best if you did not use them prior to your evaluation unless you cannot function without them</w:t>
      </w:r>
      <w:r w:rsidR="00B126A4">
        <w:rPr>
          <w:color w:val="auto"/>
        </w:rPr>
        <w:t>.</w:t>
      </w:r>
    </w:p>
    <w:p w14:paraId="7163F3DB" w14:textId="77777777" w:rsidR="008B461E" w:rsidRPr="00B126A4" w:rsidRDefault="008B461E" w:rsidP="005C5ED2">
      <w:pPr>
        <w:pStyle w:val="Heading4"/>
        <w:ind w:left="0" w:firstLine="0"/>
        <w:jc w:val="both"/>
        <w:rPr>
          <w:color w:val="auto"/>
        </w:rPr>
      </w:pPr>
      <w:r w:rsidRPr="00B126A4">
        <w:rPr>
          <w:b/>
          <w:bCs/>
          <w:color w:val="auto"/>
        </w:rPr>
        <w:t>*</w:t>
      </w:r>
      <w:r w:rsidRPr="00B126A4">
        <w:rPr>
          <w:color w:val="auto"/>
        </w:rPr>
        <w:tab/>
        <w:t xml:space="preserve">If you </w:t>
      </w:r>
      <w:r w:rsidR="00E0435F" w:rsidRPr="00B126A4">
        <w:rPr>
          <w:color w:val="auto"/>
        </w:rPr>
        <w:t xml:space="preserve">are </w:t>
      </w:r>
      <w:r w:rsidRPr="00B126A4">
        <w:rPr>
          <w:color w:val="auto"/>
        </w:rPr>
        <w:t xml:space="preserve">or your child is taking </w:t>
      </w:r>
      <w:r w:rsidRPr="00B126A4">
        <w:rPr>
          <w:b/>
          <w:color w:val="auto"/>
          <w:u w:val="single"/>
        </w:rPr>
        <w:t>stimulant medication</w:t>
      </w:r>
      <w:r w:rsidRPr="00B126A4">
        <w:rPr>
          <w:color w:val="auto"/>
        </w:rPr>
        <w:t xml:space="preserve"> (Ritalin, etc.) or other ADHD medication (such as Strattera) please check with your physician regarding delaying the morning dose until after the evaluation is complete.  This is not mandatory but if the medication is taken, testing will produce results that are influenced by the medication rather than being a true picture of the un-medicated state of the individual being evaluated.  If your child normally takes “medication ho</w:t>
      </w:r>
      <w:r w:rsidR="00DE3FAE" w:rsidRPr="00B126A4">
        <w:rPr>
          <w:color w:val="auto"/>
        </w:rPr>
        <w:t>lidays” on weekends for example or if your physician agrees,</w:t>
      </w:r>
      <w:r w:rsidRPr="00B126A4">
        <w:rPr>
          <w:color w:val="auto"/>
        </w:rPr>
        <w:t xml:space="preserve"> then plan to avoid the AM dose until after the evaluation.</w:t>
      </w:r>
    </w:p>
    <w:p w14:paraId="228F123F" w14:textId="77777777" w:rsidR="008B461E" w:rsidRPr="00B126A4" w:rsidRDefault="008B461E">
      <w:pPr>
        <w:pStyle w:val="Heading4"/>
        <w:ind w:left="0" w:firstLine="0"/>
        <w:rPr>
          <w:color w:val="auto"/>
        </w:rPr>
      </w:pPr>
    </w:p>
    <w:p w14:paraId="65BBADC3" w14:textId="77777777" w:rsidR="008B461E" w:rsidRPr="00B126A4" w:rsidRDefault="008B461E" w:rsidP="005C5ED2">
      <w:pPr>
        <w:pStyle w:val="Heading4"/>
        <w:ind w:left="0" w:firstLine="0"/>
        <w:jc w:val="both"/>
        <w:rPr>
          <w:color w:val="auto"/>
        </w:rPr>
      </w:pPr>
      <w:r w:rsidRPr="00B126A4">
        <w:rPr>
          <w:b/>
          <w:bCs/>
          <w:color w:val="auto"/>
        </w:rPr>
        <w:t>*</w:t>
      </w:r>
      <w:r w:rsidRPr="00B126A4">
        <w:rPr>
          <w:color w:val="auto"/>
        </w:rPr>
        <w:tab/>
        <w:t>If the stimulants are prescribed for narcolepsy, please have someone drive you to the appointment if you will be delaying the AM dose.</w:t>
      </w:r>
    </w:p>
    <w:p w14:paraId="2B05F983" w14:textId="77777777" w:rsidR="005C5ED2" w:rsidRPr="00B126A4" w:rsidRDefault="005C5ED2">
      <w:pPr>
        <w:rPr>
          <w:rFonts w:ascii="Arial" w:hAnsi="Arial" w:cs="Arial"/>
        </w:rPr>
      </w:pPr>
    </w:p>
    <w:p w14:paraId="1F41EC4F" w14:textId="77777777" w:rsidR="008B461E" w:rsidRPr="00B126A4" w:rsidRDefault="008B461E" w:rsidP="005C5ED2">
      <w:pPr>
        <w:jc w:val="both"/>
        <w:rPr>
          <w:rFonts w:ascii="Arial" w:hAnsi="Arial" w:cs="Arial"/>
        </w:rPr>
      </w:pPr>
      <w:r w:rsidRPr="00B126A4">
        <w:rPr>
          <w:rFonts w:ascii="Arial" w:hAnsi="Arial" w:cs="Arial"/>
        </w:rPr>
        <w:t>Evaluation appointments are generally scheduled for mornings due to physiological changes that take place throughout the day and because certain tests reflect time of day factors that may affect the validity of the outcomes.</w:t>
      </w:r>
    </w:p>
    <w:p w14:paraId="06E75E14" w14:textId="77777777" w:rsidR="00B126A4" w:rsidRPr="00B126A4" w:rsidRDefault="00B126A4" w:rsidP="00B126A4">
      <w:pPr>
        <w:ind w:left="360"/>
        <w:rPr>
          <w:rFonts w:ascii="Arial" w:hAnsi="Arial" w:cs="Arial"/>
        </w:rPr>
      </w:pPr>
    </w:p>
    <w:p w14:paraId="0E1C589D" w14:textId="19A5C0EF" w:rsidR="00B126A4" w:rsidRPr="00B126A4" w:rsidRDefault="00B126A4" w:rsidP="00B126A4">
      <w:pPr>
        <w:numPr>
          <w:ilvl w:val="0"/>
          <w:numId w:val="4"/>
        </w:numPr>
        <w:rPr>
          <w:rFonts w:ascii="Arial" w:hAnsi="Arial" w:cs="Arial"/>
        </w:rPr>
      </w:pPr>
      <w:r w:rsidRPr="00B126A4">
        <w:rPr>
          <w:rFonts w:ascii="Arial" w:hAnsi="Arial" w:cs="Arial"/>
          <w:b/>
          <w:bCs/>
        </w:rPr>
        <w:t xml:space="preserve">Please eat according to your usual schedule, get a good night sleep (8 hours or more if possible) and arrive a few minutes early </w:t>
      </w:r>
      <w:r w:rsidRPr="00B126A4">
        <w:rPr>
          <w:rFonts w:ascii="Arial" w:hAnsi="Arial" w:cs="Arial"/>
          <w:b/>
          <w:bCs/>
          <w:u w:val="single"/>
        </w:rPr>
        <w:t>with your forms completely filled out</w:t>
      </w:r>
      <w:r w:rsidRPr="00B126A4">
        <w:rPr>
          <w:rFonts w:ascii="Arial" w:hAnsi="Arial" w:cs="Arial"/>
          <w:b/>
          <w:bCs/>
        </w:rPr>
        <w:t>.</w:t>
      </w:r>
    </w:p>
    <w:p w14:paraId="70802EB0" w14:textId="77777777" w:rsidR="00B126A4" w:rsidRPr="00B126A4" w:rsidRDefault="00B126A4" w:rsidP="00B126A4">
      <w:pPr>
        <w:ind w:left="360"/>
        <w:rPr>
          <w:rFonts w:ascii="Arial" w:hAnsi="Arial" w:cs="Arial"/>
        </w:rPr>
      </w:pPr>
    </w:p>
    <w:p w14:paraId="008C03DD" w14:textId="77777777" w:rsidR="00B126A4" w:rsidRPr="00B126A4" w:rsidRDefault="00B126A4" w:rsidP="00B126A4">
      <w:pPr>
        <w:numPr>
          <w:ilvl w:val="0"/>
          <w:numId w:val="4"/>
        </w:numPr>
        <w:rPr>
          <w:rFonts w:ascii="Arial" w:hAnsi="Arial" w:cs="Arial"/>
          <w:u w:val="single"/>
        </w:rPr>
      </w:pPr>
      <w:r w:rsidRPr="00B126A4">
        <w:rPr>
          <w:rFonts w:ascii="Arial" w:hAnsi="Arial" w:cs="Arial"/>
          <w:b/>
          <w:bCs/>
        </w:rPr>
        <w:t xml:space="preserve">Please wash your hair and scalp the morning of the session and </w:t>
      </w:r>
      <w:r w:rsidRPr="00B126A4">
        <w:rPr>
          <w:rFonts w:ascii="Arial" w:hAnsi="Arial" w:cs="Arial"/>
          <w:b/>
          <w:bCs/>
          <w:u w:val="single"/>
        </w:rPr>
        <w:t>DO NOT</w:t>
      </w:r>
      <w:r w:rsidRPr="00B126A4">
        <w:rPr>
          <w:rFonts w:ascii="Arial" w:hAnsi="Arial" w:cs="Arial"/>
          <w:b/>
          <w:bCs/>
        </w:rPr>
        <w:t xml:space="preserve"> use </w:t>
      </w:r>
      <w:r w:rsidRPr="00B126A4">
        <w:rPr>
          <w:rFonts w:ascii="Arial" w:hAnsi="Arial" w:cs="Arial"/>
          <w:b/>
          <w:bCs/>
          <w:u w:val="single"/>
        </w:rPr>
        <w:t>any</w:t>
      </w:r>
      <w:r w:rsidRPr="00B126A4">
        <w:rPr>
          <w:rFonts w:ascii="Arial" w:hAnsi="Arial" w:cs="Arial"/>
          <w:b/>
          <w:bCs/>
        </w:rPr>
        <w:t xml:space="preserve"> styling gels, hair spray, hair treatments, conditioners, oils or any other preparations that might interfere with sensor connections to the scalp.  Hair </w:t>
      </w:r>
      <w:r w:rsidRPr="00B126A4">
        <w:rPr>
          <w:rFonts w:ascii="Arial" w:hAnsi="Arial" w:cs="Arial"/>
          <w:b/>
          <w:bCs/>
          <w:u w:val="single"/>
        </w:rPr>
        <w:t>MUST BE COMPLETELY DRY TO THE SCALP</w:t>
      </w:r>
      <w:r w:rsidRPr="00B126A4">
        <w:rPr>
          <w:rFonts w:ascii="Arial" w:hAnsi="Arial" w:cs="Arial"/>
          <w:b/>
          <w:bCs/>
        </w:rPr>
        <w:t xml:space="preserve"> prior to the appointment!</w:t>
      </w:r>
      <w:r w:rsidRPr="00B126A4">
        <w:rPr>
          <w:rFonts w:ascii="Arial" w:hAnsi="Arial" w:cs="Arial"/>
        </w:rPr>
        <w:t xml:space="preserve"> </w:t>
      </w:r>
    </w:p>
    <w:p w14:paraId="28EF5AE6" w14:textId="77777777" w:rsidR="00B126A4" w:rsidRPr="00B126A4" w:rsidRDefault="00B126A4" w:rsidP="00B126A4">
      <w:pPr>
        <w:ind w:left="360"/>
        <w:rPr>
          <w:rFonts w:ascii="Arial" w:hAnsi="Arial" w:cs="Arial"/>
          <w:u w:val="single"/>
        </w:rPr>
      </w:pPr>
    </w:p>
    <w:p w14:paraId="017EFD07" w14:textId="77777777" w:rsidR="00B126A4" w:rsidRDefault="00B126A4" w:rsidP="00B126A4">
      <w:pPr>
        <w:pStyle w:val="ListParagraph"/>
        <w:rPr>
          <w:rFonts w:ascii="Arial" w:hAnsi="Arial" w:cs="Arial"/>
        </w:rPr>
      </w:pPr>
    </w:p>
    <w:p w14:paraId="55179535" w14:textId="6A4D0CC2" w:rsidR="008B461E" w:rsidRPr="00B126A4" w:rsidRDefault="00174A9A">
      <w:pPr>
        <w:numPr>
          <w:ilvl w:val="0"/>
          <w:numId w:val="4"/>
        </w:numPr>
        <w:rPr>
          <w:rFonts w:ascii="Arial" w:hAnsi="Arial" w:cs="Arial"/>
          <w:b/>
          <w:bCs/>
          <w:u w:val="single"/>
        </w:rPr>
      </w:pPr>
      <w:r w:rsidRPr="00B126A4">
        <w:rPr>
          <w:rFonts w:ascii="Arial" w:hAnsi="Arial" w:cs="Arial"/>
        </w:rPr>
        <w:lastRenderedPageBreak/>
        <w:t xml:space="preserve"> </w:t>
      </w:r>
      <w:r w:rsidR="008F4752" w:rsidRPr="00B126A4">
        <w:rPr>
          <w:rFonts w:ascii="Arial" w:hAnsi="Arial" w:cs="Arial"/>
          <w:b/>
          <w:bCs/>
        </w:rPr>
        <w:t>Please brush and/or comb hair to remove tangles and remove clips, pins, extensions, hair pieces, wigs and any other head covering.</w:t>
      </w:r>
    </w:p>
    <w:p w14:paraId="04C3F2FE" w14:textId="77777777" w:rsidR="008B461E" w:rsidRPr="00B126A4" w:rsidRDefault="008B461E">
      <w:pPr>
        <w:rPr>
          <w:rFonts w:ascii="Arial" w:hAnsi="Arial" w:cs="Arial"/>
        </w:rPr>
      </w:pPr>
    </w:p>
    <w:p w14:paraId="6C4D9A7D" w14:textId="77777777" w:rsidR="008B461E" w:rsidRPr="00B126A4" w:rsidRDefault="008B461E">
      <w:pPr>
        <w:rPr>
          <w:rFonts w:ascii="Arial" w:hAnsi="Arial" w:cs="Arial"/>
        </w:rPr>
      </w:pPr>
      <w:r w:rsidRPr="00B126A4">
        <w:rPr>
          <w:rFonts w:ascii="Arial" w:hAnsi="Arial" w:cs="Arial"/>
        </w:rPr>
        <w:t xml:space="preserve">You may expect to get a small amount of sensor paste </w:t>
      </w:r>
      <w:r w:rsidR="00766082" w:rsidRPr="00B126A4">
        <w:rPr>
          <w:rFonts w:ascii="Arial" w:hAnsi="Arial" w:cs="Arial"/>
        </w:rPr>
        <w:t xml:space="preserve">or gel </w:t>
      </w:r>
      <w:r w:rsidRPr="00B126A4">
        <w:rPr>
          <w:rFonts w:ascii="Arial" w:hAnsi="Arial" w:cs="Arial"/>
        </w:rPr>
        <w:t xml:space="preserve">in your hair </w:t>
      </w:r>
      <w:r w:rsidR="00663C8A" w:rsidRPr="00B126A4">
        <w:rPr>
          <w:rFonts w:ascii="Arial" w:hAnsi="Arial" w:cs="Arial"/>
        </w:rPr>
        <w:t xml:space="preserve">(washes out easily with water).  If you are scheduled for a </w:t>
      </w:r>
      <w:r w:rsidR="00663C8A" w:rsidRPr="00B126A4">
        <w:rPr>
          <w:rFonts w:ascii="Arial" w:hAnsi="Arial" w:cs="Arial"/>
          <w:b/>
          <w:u w:val="single"/>
        </w:rPr>
        <w:t>QEEG</w:t>
      </w:r>
      <w:r w:rsidR="00663C8A" w:rsidRPr="00B126A4">
        <w:rPr>
          <w:rFonts w:ascii="Arial" w:hAnsi="Arial" w:cs="Arial"/>
        </w:rPr>
        <w:t xml:space="preserve"> your head </w:t>
      </w:r>
      <w:r w:rsidR="008F4752" w:rsidRPr="00B126A4">
        <w:rPr>
          <w:rFonts w:ascii="Arial" w:hAnsi="Arial" w:cs="Arial"/>
        </w:rPr>
        <w:t>may</w:t>
      </w:r>
      <w:r w:rsidR="00663C8A" w:rsidRPr="00B126A4">
        <w:rPr>
          <w:rFonts w:ascii="Arial" w:hAnsi="Arial" w:cs="Arial"/>
        </w:rPr>
        <w:t xml:space="preserve"> be marked with a washable marker to identify sensor sites and you will end up with a lot of </w:t>
      </w:r>
      <w:r w:rsidR="008F4752" w:rsidRPr="00B126A4">
        <w:rPr>
          <w:rFonts w:ascii="Arial" w:hAnsi="Arial" w:cs="Arial"/>
        </w:rPr>
        <w:t>gel</w:t>
      </w:r>
      <w:r w:rsidR="00663C8A" w:rsidRPr="00B126A4">
        <w:rPr>
          <w:rFonts w:ascii="Arial" w:hAnsi="Arial" w:cs="Arial"/>
        </w:rPr>
        <w:t xml:space="preserve"> in your hair.  </w:t>
      </w:r>
      <w:r w:rsidR="00663C8A" w:rsidRPr="00B126A4">
        <w:rPr>
          <w:rFonts w:ascii="Arial" w:hAnsi="Arial" w:cs="Arial"/>
          <w:u w:val="single"/>
        </w:rPr>
        <w:t>You may want to bring a hat or scarf to cover your head after the appointment</w:t>
      </w:r>
      <w:r w:rsidR="00663C8A" w:rsidRPr="00B126A4">
        <w:rPr>
          <w:rFonts w:ascii="Arial" w:hAnsi="Arial" w:cs="Arial"/>
        </w:rPr>
        <w:t>.</w:t>
      </w:r>
    </w:p>
    <w:sectPr w:rsidR="008B461E" w:rsidRPr="00B126A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30922A"/>
    <w:lvl w:ilvl="0">
      <w:numFmt w:val="decimal"/>
      <w:lvlText w:val="*"/>
      <w:lvlJc w:val="left"/>
    </w:lvl>
  </w:abstractNum>
  <w:abstractNum w:abstractNumId="1" w15:restartNumberingAfterBreak="0">
    <w:nsid w:val="44E6015A"/>
    <w:multiLevelType w:val="hybridMultilevel"/>
    <w:tmpl w:val="2C9CDE4A"/>
    <w:lvl w:ilvl="0" w:tplc="E39A3D64">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22"/>
        </w:rPr>
      </w:lvl>
    </w:lvlOverride>
  </w:num>
  <w:num w:numId="2">
    <w:abstractNumId w:val="0"/>
    <w:lvlOverride w:ilvl="0">
      <w:lvl w:ilvl="0">
        <w:numFmt w:val="bullet"/>
        <w:lvlText w:val=""/>
        <w:legacy w:legacy="1" w:legacySpace="0" w:legacyIndent="0"/>
        <w:lvlJc w:val="left"/>
        <w:rPr>
          <w:rFonts w:ascii="Wingdings" w:hAnsi="Wingdings" w:hint="default"/>
          <w:sz w:val="17"/>
        </w:rPr>
      </w:lvl>
    </w:lvlOverride>
  </w:num>
  <w:num w:numId="3">
    <w:abstractNumId w:val="0"/>
    <w:lvlOverride w:ilvl="0">
      <w:lvl w:ilvl="0">
        <w:numFmt w:val="bullet"/>
        <w:lvlText w:val=""/>
        <w:legacy w:legacy="1" w:legacySpace="0" w:legacyIndent="0"/>
        <w:lvlJc w:val="left"/>
        <w:rPr>
          <w:rFonts w:ascii="Wingdings" w:hAnsi="Wingdings" w:hint="default"/>
          <w:sz w:val="1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9FD9E99-6A0C-4710-A587-3A6D5F52EDC1}"/>
    <w:docVar w:name="dgnword-eventsink" w:val="85128240"/>
  </w:docVars>
  <w:rsids>
    <w:rsidRoot w:val="00766082"/>
    <w:rsid w:val="0003649A"/>
    <w:rsid w:val="00113362"/>
    <w:rsid w:val="00174A9A"/>
    <w:rsid w:val="00397A09"/>
    <w:rsid w:val="004C11AC"/>
    <w:rsid w:val="005C5ED2"/>
    <w:rsid w:val="00663C8A"/>
    <w:rsid w:val="00766082"/>
    <w:rsid w:val="008B461E"/>
    <w:rsid w:val="008F4752"/>
    <w:rsid w:val="00B126A4"/>
    <w:rsid w:val="00BC07A3"/>
    <w:rsid w:val="00C2481B"/>
    <w:rsid w:val="00D921EA"/>
    <w:rsid w:val="00DE3FAE"/>
    <w:rsid w:val="00E0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86ACC"/>
  <w15:docId w15:val="{B39805DF-BA16-4E97-BCD2-D223C8C9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rFonts w:ascii="Arial" w:hAnsi="Arial" w:cs="Arial"/>
      <w:color w:val="EFEF85"/>
      <w:sz w:val="44"/>
      <w:szCs w:val="44"/>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EAEAEA"/>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color w:val="EAEAEA"/>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EAEAE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76C2C-B3F6-45E2-A508-A4D1AEBE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Preparation for Biofeedback Assessment</vt:lpstr>
    </vt:vector>
  </TitlesOfParts>
  <Company>Minnesota Neurotherapy Institute</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Biofeedback Assessment</dc:title>
  <dc:creator>John S. Anderson</dc:creator>
  <cp:lastModifiedBy>Santiago</cp:lastModifiedBy>
  <cp:revision>4</cp:revision>
  <cp:lastPrinted>2007-09-27T22:06:00Z</cp:lastPrinted>
  <dcterms:created xsi:type="dcterms:W3CDTF">2014-11-26T21:22:00Z</dcterms:created>
  <dcterms:modified xsi:type="dcterms:W3CDTF">2021-06-21T08:45:00Z</dcterms:modified>
</cp:coreProperties>
</file>